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7705" w:rsidRPr="00F0042D" w:rsidRDefault="00721EAA" w:rsidP="00721EAA">
      <w:pPr>
        <w:spacing w:line="276" w:lineRule="auto"/>
        <w:jc w:val="center"/>
        <w:rPr>
          <w:rFonts w:ascii="Gill Sans MT" w:eastAsia="Times New Roman" w:hAnsi="Gill Sans MT" w:cs="Times New Roman"/>
          <w:sz w:val="28"/>
          <w:szCs w:val="24"/>
        </w:rPr>
      </w:pPr>
      <w:r w:rsidRPr="00F0042D">
        <w:rPr>
          <w:rFonts w:ascii="Gill Sans MT" w:eastAsia="Arial" w:hAnsi="Gill Sans MT" w:cs="Arial"/>
          <w:color w:val="000000"/>
          <w:sz w:val="32"/>
          <w:szCs w:val="28"/>
        </w:rPr>
        <w:t>Recommendations for a Strategic Implementation Subcommittee</w:t>
      </w:r>
    </w:p>
    <w:p w14:paraId="00000002" w14:textId="01FC8377" w:rsidR="00237705" w:rsidRPr="00F0042D" w:rsidRDefault="00721EAA">
      <w:pPr>
        <w:spacing w:after="0" w:line="276" w:lineRule="auto"/>
        <w:jc w:val="center"/>
        <w:rPr>
          <w:rFonts w:ascii="Gill Sans MT" w:eastAsia="Times New Roman" w:hAnsi="Gill Sans MT" w:cs="Times New Roman"/>
          <w:sz w:val="24"/>
          <w:szCs w:val="24"/>
        </w:rPr>
      </w:pPr>
      <w:r w:rsidRPr="00F0042D">
        <w:rPr>
          <w:rFonts w:ascii="Gill Sans MT" w:eastAsia="Arial" w:hAnsi="Gill Sans MT" w:cs="Arial"/>
          <w:color w:val="000000"/>
          <w:sz w:val="24"/>
          <w:szCs w:val="24"/>
        </w:rPr>
        <w:t>Executive Office on Early Learning</w:t>
      </w:r>
    </w:p>
    <w:p w14:paraId="00000003" w14:textId="77777777" w:rsidR="00237705" w:rsidRDefault="00237705">
      <w:pPr>
        <w:spacing w:after="240" w:line="276" w:lineRule="auto"/>
        <w:rPr>
          <w:rFonts w:ascii="Times New Roman" w:eastAsia="Times New Roman" w:hAnsi="Times New Roman" w:cs="Times New Roman"/>
          <w:sz w:val="24"/>
          <w:szCs w:val="24"/>
        </w:rPr>
      </w:pPr>
    </w:p>
    <w:p w14:paraId="00000004" w14:textId="77777777" w:rsidR="00237705" w:rsidRDefault="00721EAA">
      <w:pPr>
        <w:spacing w:line="240" w:lineRule="auto"/>
        <w:rPr>
          <w:rFonts w:ascii="Garamond" w:eastAsia="Garamond" w:hAnsi="Garamond" w:cs="Garamond"/>
          <w:sz w:val="28"/>
          <w:szCs w:val="28"/>
        </w:rPr>
      </w:pPr>
      <w:r>
        <w:rPr>
          <w:rFonts w:ascii="Garamond" w:eastAsia="Garamond" w:hAnsi="Garamond" w:cs="Garamond"/>
          <w:color w:val="000000"/>
          <w:sz w:val="24"/>
          <w:szCs w:val="24"/>
        </w:rPr>
        <w:t>The proposed Strategic Implementation Subcommittee, if approved, should:</w:t>
      </w:r>
    </w:p>
    <w:p w14:paraId="00000005"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Be responsible for carrying out ELBs role as champion of Objective 3 of the AMR strategic implementation plan (SIP) (see next page)</w:t>
      </w:r>
    </w:p>
    <w:p w14:paraId="00000006"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Meet regularly to discuss SIP and Act 46 implementation progress</w:t>
      </w:r>
    </w:p>
    <w:p w14:paraId="00000007"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Invite an EOEL representative to join the subcommittee and regularly provide summary updates on implementation activities, paying special attention to successes, challenges, and potential opportunities to support implementation teams</w:t>
      </w:r>
    </w:p>
    <w:p w14:paraId="00000008"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Maintain frequent communication outside of regular meeting times with EOEL staff who will convey potential opportunities to support implementation teams</w:t>
      </w:r>
    </w:p>
    <w:p w14:paraId="00000009"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Provide a supportive and collaborative forum in which invited SIP champions can describe challenges to implementation and discuss possible remedies, which may include seeking additional/alternative resources, delaying implementation, and/or modifying plans in order to achieve the plan’s intended objectives</w:t>
      </w:r>
    </w:p>
    <w:p w14:paraId="0000000A" w14:textId="77777777" w:rsidR="00237705" w:rsidRDefault="00721EAA">
      <w:pPr>
        <w:numPr>
          <w:ilvl w:val="0"/>
          <w:numId w:val="3"/>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Decide when challenges to implementation arise that warrant the input or guidance of the full board</w:t>
      </w:r>
    </w:p>
    <w:p w14:paraId="0000000B" w14:textId="77777777" w:rsidR="00237705" w:rsidRDefault="00721EAA">
      <w:pPr>
        <w:numPr>
          <w:ilvl w:val="0"/>
          <w:numId w:val="3"/>
        </w:numPr>
        <w:spacing w:after="120" w:line="240" w:lineRule="auto"/>
        <w:rPr>
          <w:rFonts w:ascii="Garamond" w:eastAsia="Garamond" w:hAnsi="Garamond" w:cs="Garamond"/>
          <w:color w:val="000000"/>
          <w:sz w:val="24"/>
          <w:szCs w:val="24"/>
        </w:rPr>
      </w:pPr>
      <w:bookmarkStart w:id="0" w:name="_heading=h.gjdgxs" w:colFirst="0" w:colLast="0"/>
      <w:bookmarkEnd w:id="0"/>
      <w:r>
        <w:rPr>
          <w:rFonts w:ascii="Garamond" w:eastAsia="Garamond" w:hAnsi="Garamond" w:cs="Garamond"/>
          <w:color w:val="000000"/>
          <w:sz w:val="24"/>
          <w:szCs w:val="24"/>
        </w:rPr>
        <w:t>In the first quarter of 2024, advise EOEL staff in the production of the planned final SIP evaluation report, especially in developing the report’s findings and recommendations</w:t>
      </w:r>
    </w:p>
    <w:p w14:paraId="0000000C" w14:textId="77777777" w:rsidR="00237705" w:rsidRDefault="00721EAA">
      <w:pPr>
        <w:numPr>
          <w:ilvl w:val="0"/>
          <w:numId w:val="3"/>
        </w:numPr>
        <w:spacing w:after="120" w:line="240" w:lineRule="auto"/>
        <w:rPr>
          <w:rFonts w:ascii="Garamond" w:eastAsia="Garamond" w:hAnsi="Garamond" w:cs="Garamond"/>
          <w:sz w:val="24"/>
          <w:szCs w:val="24"/>
        </w:rPr>
      </w:pPr>
      <w:bookmarkStart w:id="1" w:name="_heading=h.msldd5tf0gtn" w:colFirst="0" w:colLast="0"/>
      <w:bookmarkEnd w:id="1"/>
      <w:r>
        <w:rPr>
          <w:rFonts w:ascii="Garamond" w:eastAsia="Garamond" w:hAnsi="Garamond" w:cs="Garamond"/>
          <w:sz w:val="24"/>
          <w:szCs w:val="24"/>
        </w:rPr>
        <w:t>(If the Capacity and Resources Subcommittee dissolves or is otherwise no longer able to perform its role) Support EOEL in building and sustaining the capacity and resources needed to carry out the work necessary to coordinate and conduct SIP- and Act 46-related work.</w:t>
      </w:r>
    </w:p>
    <w:p w14:paraId="0000000D" w14:textId="77777777" w:rsidR="00237705" w:rsidRDefault="00237705">
      <w:pPr>
        <w:spacing w:after="120" w:line="240" w:lineRule="auto"/>
        <w:rPr>
          <w:rFonts w:ascii="Garamond" w:eastAsia="Garamond" w:hAnsi="Garamond" w:cs="Garamond"/>
          <w:sz w:val="24"/>
          <w:szCs w:val="24"/>
        </w:rPr>
      </w:pPr>
      <w:bookmarkStart w:id="2" w:name="_heading=h.di1md0s611vq" w:colFirst="0" w:colLast="0"/>
      <w:bookmarkEnd w:id="2"/>
    </w:p>
    <w:p w14:paraId="0000000E" w14:textId="77777777" w:rsidR="00237705" w:rsidRDefault="00237705">
      <w:pPr>
        <w:spacing w:after="0" w:line="240" w:lineRule="auto"/>
        <w:rPr>
          <w:rFonts w:ascii="Garamond" w:eastAsia="Garamond" w:hAnsi="Garamond" w:cs="Garamond"/>
          <w:sz w:val="28"/>
          <w:szCs w:val="28"/>
        </w:rPr>
      </w:pPr>
    </w:p>
    <w:p w14:paraId="0000000F" w14:textId="77777777" w:rsidR="00237705" w:rsidRDefault="00721EAA">
      <w:pPr>
        <w:spacing w:line="240" w:lineRule="auto"/>
        <w:rPr>
          <w:rFonts w:ascii="Garamond" w:eastAsia="Garamond" w:hAnsi="Garamond" w:cs="Garamond"/>
          <w:sz w:val="28"/>
          <w:szCs w:val="28"/>
        </w:rPr>
      </w:pPr>
      <w:r>
        <w:rPr>
          <w:rFonts w:ascii="Garamond" w:eastAsia="Garamond" w:hAnsi="Garamond" w:cs="Garamond"/>
          <w:color w:val="000000"/>
          <w:sz w:val="24"/>
          <w:szCs w:val="24"/>
        </w:rPr>
        <w:t>We believe that the potential benefits of the subcommittee include:</w:t>
      </w:r>
    </w:p>
    <w:p w14:paraId="00000010" w14:textId="77777777" w:rsidR="00237705" w:rsidRDefault="00721EAA">
      <w:pPr>
        <w:numPr>
          <w:ilvl w:val="0"/>
          <w:numId w:val="4"/>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Potential to motivate action by agencies and organizations</w:t>
      </w:r>
    </w:p>
    <w:p w14:paraId="00000011" w14:textId="77777777" w:rsidR="00237705" w:rsidRDefault="00721EAA">
      <w:pPr>
        <w:numPr>
          <w:ilvl w:val="0"/>
          <w:numId w:val="4"/>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Spur decision making when obstacles and/or indecision arise</w:t>
      </w:r>
    </w:p>
    <w:p w14:paraId="00000012" w14:textId="77777777" w:rsidR="00237705" w:rsidRDefault="00721EAA">
      <w:pPr>
        <w:numPr>
          <w:ilvl w:val="0"/>
          <w:numId w:val="4"/>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Hear implementation challenges, sticking points, and concerns and offer timely ELB input year-round</w:t>
      </w:r>
    </w:p>
    <w:p w14:paraId="00000013" w14:textId="73F500B3" w:rsidR="00237705" w:rsidRDefault="00721EAA">
      <w:pPr>
        <w:numPr>
          <w:ilvl w:val="0"/>
          <w:numId w:val="4"/>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Inform decision making across SIPs and work groups with a system</w:t>
      </w:r>
      <w:r w:rsidR="00F37435">
        <w:rPr>
          <w:rFonts w:ascii="Garamond" w:eastAsia="Garamond" w:hAnsi="Garamond" w:cs="Garamond"/>
          <w:color w:val="000000"/>
          <w:sz w:val="24"/>
          <w:szCs w:val="24"/>
        </w:rPr>
        <w:t>-</w:t>
      </w:r>
      <w:r>
        <w:rPr>
          <w:rFonts w:ascii="Garamond" w:eastAsia="Garamond" w:hAnsi="Garamond" w:cs="Garamond"/>
          <w:color w:val="000000"/>
          <w:sz w:val="24"/>
          <w:szCs w:val="24"/>
        </w:rPr>
        <w:t>wide perspective that may include:</w:t>
      </w:r>
    </w:p>
    <w:p w14:paraId="00000014" w14:textId="77777777" w:rsidR="00237705" w:rsidRDefault="00721EAA">
      <w:pPr>
        <w:numPr>
          <w:ilvl w:val="1"/>
          <w:numId w:val="2"/>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Identifying systemic challenges (e.g., funding, policy barriers)</w:t>
      </w:r>
    </w:p>
    <w:p w14:paraId="00000015" w14:textId="77777777" w:rsidR="00237705" w:rsidRDefault="00721EAA">
      <w:pPr>
        <w:numPr>
          <w:ilvl w:val="1"/>
          <w:numId w:val="2"/>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Making recommendations to ELB about policy and budgetary priorities</w:t>
      </w:r>
    </w:p>
    <w:p w14:paraId="00000016" w14:textId="77777777" w:rsidR="00237705" w:rsidRDefault="00721EAA">
      <w:pPr>
        <w:numPr>
          <w:ilvl w:val="0"/>
          <w:numId w:val="4"/>
        </w:numP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Act as a working partner for the Project Mgr. with board-level authority</w:t>
      </w:r>
    </w:p>
    <w:p w14:paraId="00000017" w14:textId="77777777" w:rsidR="00237705" w:rsidRDefault="00721EAA">
      <w:pPr>
        <w:spacing w:line="276" w:lineRule="auto"/>
        <w:rPr>
          <w:rFonts w:ascii="Arial" w:eastAsia="Arial" w:hAnsi="Arial" w:cs="Arial"/>
          <w:b/>
          <w:color w:val="000000"/>
          <w:sz w:val="20"/>
          <w:szCs w:val="20"/>
        </w:rPr>
      </w:pPr>
      <w:r>
        <w:br w:type="page"/>
      </w:r>
    </w:p>
    <w:p w14:paraId="00000018" w14:textId="77777777" w:rsidR="00237705" w:rsidRPr="00F0042D" w:rsidRDefault="00721EAA">
      <w:pPr>
        <w:spacing w:line="276" w:lineRule="auto"/>
        <w:rPr>
          <w:rFonts w:ascii="Gill Sans MT" w:eastAsia="Times New Roman" w:hAnsi="Gill Sans MT" w:cs="Times New Roman"/>
          <w:sz w:val="28"/>
          <w:szCs w:val="24"/>
        </w:rPr>
      </w:pPr>
      <w:r w:rsidRPr="00F0042D">
        <w:rPr>
          <w:rFonts w:ascii="Gill Sans MT" w:eastAsia="Arial" w:hAnsi="Gill Sans MT" w:cs="Arial"/>
          <w:b/>
          <w:color w:val="000000"/>
          <w:szCs w:val="20"/>
        </w:rPr>
        <w:lastRenderedPageBreak/>
        <w:t>Objective 3, “Access to More Resources for Children and Families” plan</w:t>
      </w:r>
    </w:p>
    <w:p w14:paraId="00000019" w14:textId="77777777" w:rsidR="00237705" w:rsidRPr="00F0042D" w:rsidRDefault="00721EAA">
      <w:pPr>
        <w:spacing w:after="0" w:line="276" w:lineRule="auto"/>
        <w:ind w:left="360"/>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Collaborative partners are working on and with the structures for accessing services, they are achieving common goals, and they are encouraged to share knowledge, questions, and feedback on a regular basis.</w:t>
      </w:r>
    </w:p>
    <w:p w14:paraId="0000001A" w14:textId="2D9F9C4C" w:rsidR="00237705" w:rsidRDefault="00237705">
      <w:pPr>
        <w:spacing w:after="0" w:line="276" w:lineRule="auto"/>
        <w:rPr>
          <w:rFonts w:ascii="Gill Sans MT" w:eastAsia="Times New Roman" w:hAnsi="Gill Sans MT" w:cs="Times New Roman"/>
          <w:sz w:val="24"/>
          <w:szCs w:val="24"/>
        </w:rPr>
      </w:pPr>
    </w:p>
    <w:p w14:paraId="5F3BECE5" w14:textId="77777777" w:rsidR="00F0042D" w:rsidRPr="00F0042D" w:rsidRDefault="00F0042D">
      <w:pPr>
        <w:spacing w:after="0" w:line="276" w:lineRule="auto"/>
        <w:rPr>
          <w:rFonts w:ascii="Gill Sans MT" w:eastAsia="Times New Roman" w:hAnsi="Gill Sans MT" w:cs="Times New Roman"/>
          <w:sz w:val="24"/>
          <w:szCs w:val="24"/>
        </w:rPr>
      </w:pPr>
    </w:p>
    <w:p w14:paraId="0000001B" w14:textId="77777777" w:rsidR="00237705" w:rsidRPr="00F0042D" w:rsidRDefault="00721EAA">
      <w:pPr>
        <w:spacing w:line="276" w:lineRule="auto"/>
        <w:rPr>
          <w:rFonts w:ascii="Gill Sans MT" w:eastAsia="Times New Roman" w:hAnsi="Gill Sans MT" w:cs="Times New Roman"/>
          <w:sz w:val="28"/>
          <w:szCs w:val="24"/>
        </w:rPr>
      </w:pPr>
      <w:r w:rsidRPr="00F0042D">
        <w:rPr>
          <w:rFonts w:ascii="Gill Sans MT" w:eastAsia="Arial" w:hAnsi="Gill Sans MT" w:cs="Arial"/>
          <w:b/>
          <w:color w:val="000000"/>
          <w:szCs w:val="20"/>
        </w:rPr>
        <w:t>Actions</w:t>
      </w:r>
    </w:p>
    <w:p w14:paraId="0000001C" w14:textId="77777777" w:rsidR="00237705" w:rsidRPr="00F0042D" w:rsidRDefault="00721EAA">
      <w:pPr>
        <w:numPr>
          <w:ilvl w:val="0"/>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Utilize the Early Childhood State Plan's Priorities for Collective Action to enhance collaboration, bring government agencies together (and also government/nonprofit organizations) to generate innovative, collaborative projects and continue to move the work forward to implementation (e.g., state and county departments identify administrative gaps and convene to align them).</w:t>
      </w:r>
    </w:p>
    <w:p w14:paraId="0000001D" w14:textId="77777777" w:rsidR="00237705" w:rsidRPr="00F0042D" w:rsidRDefault="00721EAA">
      <w:pPr>
        <w:numPr>
          <w:ilvl w:val="1"/>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Create safe spaces for sharing ideas and feedback candidly, including respect for cultural perspectives, whether working inter- or intra-agency, with nonprofit and for-profit partners, or with families.</w:t>
      </w:r>
    </w:p>
    <w:p w14:paraId="0000001E" w14:textId="77777777" w:rsidR="00237705" w:rsidRPr="00F0042D" w:rsidRDefault="00721EAA">
      <w:pPr>
        <w:numPr>
          <w:ilvl w:val="2"/>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Where beneficial and helpful to create clarity of roles and responsibilities, develop written agreements between collaborative partners.</w:t>
      </w:r>
    </w:p>
    <w:p w14:paraId="0000001F" w14:textId="77777777" w:rsidR="00237705" w:rsidRPr="00F0042D" w:rsidRDefault="00721EAA">
      <w:pPr>
        <w:numPr>
          <w:ilvl w:val="1"/>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Identify laws, policies, and operating practices that are acting as barriers to accessing services.</w:t>
      </w:r>
    </w:p>
    <w:p w14:paraId="00000020" w14:textId="77777777" w:rsidR="00237705" w:rsidRPr="00F0042D" w:rsidRDefault="00721EAA">
      <w:pPr>
        <w:numPr>
          <w:ilvl w:val="1"/>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Develop actionable priorities to diminish barriers within the system and for families (e.g., advocating for federal Homeless Children and Youth Act, increasing our investment in early care and education for families, improving access to child care subsidies).</w:t>
      </w:r>
    </w:p>
    <w:p w14:paraId="00000021" w14:textId="77777777" w:rsidR="00237705" w:rsidRPr="00F0042D" w:rsidRDefault="00721EAA">
      <w:pPr>
        <w:numPr>
          <w:ilvl w:val="1"/>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Continue to explore the establishment of a Children's Cabinet to help ensure the continuity of priorities over time.</w:t>
      </w:r>
    </w:p>
    <w:p w14:paraId="00000023" w14:textId="648897A9" w:rsidR="00F37435" w:rsidRPr="00F0042D" w:rsidRDefault="00721EAA" w:rsidP="00F7347C">
      <w:pPr>
        <w:numPr>
          <w:ilvl w:val="1"/>
          <w:numId w:val="1"/>
        </w:numPr>
        <w:spacing w:after="0" w:line="276" w:lineRule="auto"/>
        <w:rPr>
          <w:rFonts w:ascii="Gill Sans MT" w:eastAsia="Garamond" w:hAnsi="Gill Sans MT" w:cs="Garamond"/>
          <w:color w:val="000000"/>
          <w:sz w:val="24"/>
          <w:szCs w:val="24"/>
        </w:rPr>
      </w:pPr>
      <w:r w:rsidRPr="00F0042D">
        <w:rPr>
          <w:rFonts w:ascii="Gill Sans MT" w:eastAsia="Garamond" w:hAnsi="Gill Sans MT" w:cs="Garamond"/>
          <w:color w:val="000000"/>
          <w:sz w:val="24"/>
          <w:szCs w:val="24"/>
        </w:rPr>
        <w:t>Engage in and share results of evaluation and feedback efforts, including family feedback where appropriate, in order to keep collaborative partners informed on the impact of actions implemented.</w:t>
      </w:r>
    </w:p>
    <w:sectPr w:rsidR="00F37435" w:rsidRPr="00F00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BE3"/>
    <w:multiLevelType w:val="multilevel"/>
    <w:tmpl w:val="792CEE6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8FD450E"/>
    <w:multiLevelType w:val="hybridMultilevel"/>
    <w:tmpl w:val="05C6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30F7"/>
    <w:multiLevelType w:val="multilevel"/>
    <w:tmpl w:val="42CAD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B04EB4"/>
    <w:multiLevelType w:val="hybridMultilevel"/>
    <w:tmpl w:val="21809478"/>
    <w:lvl w:ilvl="0" w:tplc="74AA274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B58B9"/>
    <w:multiLevelType w:val="multilevel"/>
    <w:tmpl w:val="D30C2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Garamond" w:eastAsia="Garamond" w:hAnsi="Garamond" w:cs="Garamond"/>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A05D9C"/>
    <w:multiLevelType w:val="multilevel"/>
    <w:tmpl w:val="E404F98C"/>
    <w:lvl w:ilvl="0">
      <w:start w:val="1"/>
      <w:numFmt w:val="decimal"/>
      <w:lvlText w:val="%1."/>
      <w:lvlJc w:val="left"/>
      <w:pPr>
        <w:ind w:left="720" w:hanging="360"/>
      </w:pPr>
      <w:rPr>
        <w:sz w:val="24"/>
        <w:szCs w:val="24"/>
      </w:rPr>
    </w:lvl>
    <w:lvl w:ilvl="1">
      <w:start w:val="1"/>
      <w:numFmt w:val="decimal"/>
      <w:lvlText w:val="%1.%2."/>
      <w:lvlJc w:val="left"/>
      <w:pPr>
        <w:ind w:left="1152" w:hanging="432"/>
      </w:pPr>
      <w:rPr>
        <w:sz w:val="20"/>
        <w:szCs w:val="2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rPr>
        <w:sz w:val="20"/>
        <w:szCs w:val="20"/>
      </w:rPr>
    </w:lvl>
    <w:lvl w:ilvl="5">
      <w:start w:val="1"/>
      <w:numFmt w:val="decimal"/>
      <w:lvlText w:val="%1.%2.%3.%4.%5.%6."/>
      <w:lvlJc w:val="left"/>
      <w:pPr>
        <w:ind w:left="3096" w:hanging="935"/>
      </w:pPr>
      <w:rPr>
        <w:sz w:val="20"/>
        <w:szCs w:val="20"/>
      </w:rPr>
    </w:lvl>
    <w:lvl w:ilvl="6">
      <w:start w:val="1"/>
      <w:numFmt w:val="decimal"/>
      <w:lvlText w:val="%1.%2.%3.%4.%5.%6.%7."/>
      <w:lvlJc w:val="left"/>
      <w:pPr>
        <w:ind w:left="3600" w:hanging="1080"/>
      </w:pPr>
      <w:rPr>
        <w:sz w:val="20"/>
        <w:szCs w:val="20"/>
      </w:rPr>
    </w:lvl>
    <w:lvl w:ilvl="7">
      <w:start w:val="1"/>
      <w:numFmt w:val="decimal"/>
      <w:lvlText w:val="%1.%2.%3.%4.%5.%6.%7.%8."/>
      <w:lvlJc w:val="left"/>
      <w:pPr>
        <w:ind w:left="4104" w:hanging="1224"/>
      </w:pPr>
      <w:rPr>
        <w:sz w:val="20"/>
        <w:szCs w:val="20"/>
      </w:rPr>
    </w:lvl>
    <w:lvl w:ilvl="8">
      <w:start w:val="1"/>
      <w:numFmt w:val="decimal"/>
      <w:lvlText w:val="%1.%2.%3.%4.%5.%6.%7.%8.%9."/>
      <w:lvlJc w:val="left"/>
      <w:pPr>
        <w:ind w:left="4680" w:hanging="1440"/>
      </w:pPr>
      <w:rPr>
        <w:sz w:val="20"/>
        <w:szCs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05"/>
    <w:rsid w:val="00005F53"/>
    <w:rsid w:val="00161315"/>
    <w:rsid w:val="00237705"/>
    <w:rsid w:val="00252E7F"/>
    <w:rsid w:val="0029549D"/>
    <w:rsid w:val="002B074F"/>
    <w:rsid w:val="00301A2E"/>
    <w:rsid w:val="00352815"/>
    <w:rsid w:val="003D1990"/>
    <w:rsid w:val="005A3C82"/>
    <w:rsid w:val="00625240"/>
    <w:rsid w:val="006D6776"/>
    <w:rsid w:val="006E6E90"/>
    <w:rsid w:val="00721EAA"/>
    <w:rsid w:val="0074670A"/>
    <w:rsid w:val="007A265A"/>
    <w:rsid w:val="009B70D8"/>
    <w:rsid w:val="00AD4A5D"/>
    <w:rsid w:val="00AE1916"/>
    <w:rsid w:val="00B65F87"/>
    <w:rsid w:val="00B8798C"/>
    <w:rsid w:val="00BE341A"/>
    <w:rsid w:val="00C30301"/>
    <w:rsid w:val="00C313C0"/>
    <w:rsid w:val="00CB21F9"/>
    <w:rsid w:val="00D6721D"/>
    <w:rsid w:val="00DB3AF6"/>
    <w:rsid w:val="00DC1600"/>
    <w:rsid w:val="00E6557E"/>
    <w:rsid w:val="00F0042D"/>
    <w:rsid w:val="00F37435"/>
    <w:rsid w:val="00F52315"/>
    <w:rsid w:val="00F7347C"/>
    <w:rsid w:val="00F8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857"/>
  <w15:docId w15:val="{BA437FED-2A5B-40C4-A5BC-7619567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JfStandard">
    <w:name w:val="Jf. Standard"/>
    <w:basedOn w:val="Normal"/>
    <w:link w:val="JfStandardChar"/>
    <w:qFormat/>
    <w:rsid w:val="00F412BF"/>
    <w:pPr>
      <w:spacing w:after="0" w:line="240" w:lineRule="auto"/>
    </w:pPr>
    <w:rPr>
      <w:rFonts w:ascii="Garamond" w:hAnsi="Garamond"/>
      <w:sz w:val="24"/>
    </w:rPr>
  </w:style>
  <w:style w:type="character" w:customStyle="1" w:styleId="JfStandardChar">
    <w:name w:val="Jf. Standard Char"/>
    <w:basedOn w:val="DefaultParagraphFont"/>
    <w:link w:val="JfStandard"/>
    <w:rsid w:val="00F412BF"/>
    <w:rPr>
      <w:rFonts w:ascii="Garamond" w:hAnsi="Garamond"/>
      <w:sz w:val="24"/>
    </w:rPr>
  </w:style>
  <w:style w:type="paragraph" w:styleId="NormalWeb">
    <w:name w:val="Normal (Web)"/>
    <w:basedOn w:val="Normal"/>
    <w:uiPriority w:val="99"/>
    <w:semiHidden/>
    <w:unhideWhenUsed/>
    <w:rsid w:val="00CA34C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670A"/>
    <w:pPr>
      <w:ind w:left="720"/>
      <w:contextualSpacing/>
    </w:pPr>
  </w:style>
  <w:style w:type="table" w:styleId="TableGrid">
    <w:name w:val="Table Grid"/>
    <w:basedOn w:val="TableNormal"/>
    <w:uiPriority w:val="39"/>
    <w:rsid w:val="00AD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lDjqIu+fovC8FgnAQzdSA/l1g==">AMUW2mWsUhb0Fy1in3KfeRFLhH1cWmfNUEqhoF49O0+zCPSEPlZ3tzFPeXeF6QypP0kxzqurPHdhNU+5FT0SXNj12TIEnucdV3zRRQTTGNNLzHgOt5o+cywzx9Fx4YoPP+bJQz7H4cJTN5qD+jntAbG8/XkbSaetDlhSti1fsb84GKL2VjK7lok=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Larson</dc:creator>
  <cp:keywords/>
  <dc:description/>
  <cp:lastModifiedBy>Robert Peters</cp:lastModifiedBy>
  <cp:revision>2</cp:revision>
  <dcterms:created xsi:type="dcterms:W3CDTF">2022-02-04T22:57:00Z</dcterms:created>
  <dcterms:modified xsi:type="dcterms:W3CDTF">2022-02-04T22:57:00Z</dcterms:modified>
</cp:coreProperties>
</file>